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B74" w:rsidRPr="00CB7EDA" w:rsidRDefault="009E79B5" w:rsidP="00CB7ED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VALIDATION AND COMPARISON OF RESTING GRADIENT TO FRACTIONAL FLOW RESERVE FOR ASSESSMENT OF CORONARY ARTERY STENOSIS</w:t>
      </w:r>
    </w:p>
    <w:p w:rsidR="009E79B5" w:rsidRDefault="00F70B74" w:rsidP="00CB7EDA">
      <w:pP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9E7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J. Aoun</w:t>
      </w:r>
      <w:r w:rsidRPr="00CB7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 </w:t>
      </w:r>
      <w:proofErr w:type="spellStart"/>
      <w:r w:rsidRPr="00CB7EDA">
        <w:rPr>
          <w:rFonts w:ascii="Times New Roman" w:eastAsia="Times New Roman" w:hAnsi="Times New Roman" w:cs="Times New Roman"/>
          <w:color w:val="000000"/>
          <w:sz w:val="24"/>
          <w:szCs w:val="24"/>
        </w:rPr>
        <w:t>Lahsaei</w:t>
      </w:r>
      <w:proofErr w:type="spellEnd"/>
      <w:r w:rsidRPr="00CB7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C. </w:t>
      </w:r>
      <w:proofErr w:type="spellStart"/>
      <w:r w:rsidRPr="00CB7EDA">
        <w:rPr>
          <w:rFonts w:ascii="Times New Roman" w:eastAsia="Times New Roman" w:hAnsi="Times New Roman" w:cs="Times New Roman"/>
          <w:color w:val="000000"/>
          <w:sz w:val="24"/>
          <w:szCs w:val="24"/>
        </w:rPr>
        <w:t>Zahm</w:t>
      </w:r>
      <w:proofErr w:type="spellEnd"/>
      <w:r w:rsidRPr="00CB7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T. Bhat, J.P. </w:t>
      </w:r>
      <w:proofErr w:type="spellStart"/>
      <w:r w:rsidRPr="00CB7EDA">
        <w:rPr>
          <w:rFonts w:ascii="Times New Roman" w:eastAsia="Times New Roman" w:hAnsi="Times New Roman" w:cs="Times New Roman"/>
          <w:color w:val="000000"/>
          <w:sz w:val="24"/>
          <w:szCs w:val="24"/>
        </w:rPr>
        <w:t>Carrozza</w:t>
      </w:r>
      <w:proofErr w:type="spellEnd"/>
    </w:p>
    <w:p w:rsidR="009E79B5" w:rsidRDefault="00F70B74" w:rsidP="00CB7ED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DA">
        <w:rPr>
          <w:rFonts w:ascii="Times New Roman" w:eastAsia="Times New Roman" w:hAnsi="Times New Roman" w:cs="Times New Roman"/>
          <w:color w:val="000000"/>
          <w:sz w:val="24"/>
          <w:szCs w:val="24"/>
        </w:rPr>
        <w:t>Saint Elizabeth's Medical Center, Brighton, MA, USA</w:t>
      </w:r>
    </w:p>
    <w:p w:rsidR="00F70B74" w:rsidRPr="00CB7EDA" w:rsidRDefault="00F70B74" w:rsidP="00CB7ED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79B5" w:rsidRDefault="00F70B74" w:rsidP="009E79B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Background:</w:t>
      </w:r>
      <w:r w:rsidRPr="00CB7EDA">
        <w:rPr>
          <w:rFonts w:ascii="Times New Roman" w:eastAsia="Times New Roman" w:hAnsi="Times New Roman" w:cs="Times New Roman"/>
          <w:color w:val="000000"/>
          <w:sz w:val="24"/>
          <w:szCs w:val="24"/>
        </w:rPr>
        <w:t> The visual interpretation of an angiographic stenosis may not always reflect the physiological significance of a lesion. Fractional Flow Reserve (FFR) is a reliable index to assess the significance of a lesion during hyperemia. However, there are pitfalls that can lead to significant misinterpretation and adverse events. This study sought to evaluate the accuracy and predictability of the resting Pd/Pa (distal coronary artery pressure to aortic pressure ratio) without hyperemic stimuli, compared to hyperemic FFR.</w:t>
      </w:r>
    </w:p>
    <w:p w:rsidR="009E79B5" w:rsidRDefault="00F70B74" w:rsidP="009E79B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Method:</w:t>
      </w:r>
      <w:r w:rsidRPr="00CB7EDA">
        <w:rPr>
          <w:rFonts w:ascii="Times New Roman" w:eastAsia="Times New Roman" w:hAnsi="Times New Roman" w:cs="Times New Roman"/>
          <w:color w:val="000000"/>
          <w:sz w:val="24"/>
          <w:szCs w:val="24"/>
        </w:rPr>
        <w:t> We conducted a retrospective, multicenter study of 700 patients who underwent a pressure recording during coronary angiography using Pd/Pa and FFR measurements. Receiver operator characteristic (ROC) curve was constructed. Pd/Pa sensitivity, specificity, positive predictive value, negative predictive value and accuracy test were calculated. The most accurate Pd/Pa cutoff was determined.</w:t>
      </w:r>
    </w:p>
    <w:p w:rsidR="009E79B5" w:rsidRDefault="00F70B74" w:rsidP="009E79B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Results:</w:t>
      </w:r>
      <w:r w:rsidRPr="00CB7EDA">
        <w:rPr>
          <w:rFonts w:ascii="Times New Roman" w:eastAsia="Times New Roman" w:hAnsi="Times New Roman" w:cs="Times New Roman"/>
          <w:color w:val="000000"/>
          <w:sz w:val="24"/>
          <w:szCs w:val="24"/>
        </w:rPr>
        <w:t> Of the 700 procedures, 449 cases were included. By ROC analysis, the optimal cut-point for Pd/Pa was 0.93 to predict an FFR of ≤0.80 with an overall diagnostic accuracy of 78.84%. The sensitivity of this Pd/Pa cutoff was 85.06 %, specificity of 75.59 %, positive predictive value of 64.53% and a negative predictive value of 90.65%.</w:t>
      </w:r>
    </w:p>
    <w:p w:rsidR="00F70B74" w:rsidRPr="00CB7EDA" w:rsidRDefault="00F70B74" w:rsidP="009E79B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B7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Conclusion: </w:t>
      </w:r>
      <w:r w:rsidRPr="00CB7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was an overall accuracy of about 80% for predicting non-hyperemic index (FFR &lt;0.80) using a cutoff of Pd/Pa ≤0.93. The use of Pd/Pa can be considered in certain clinical scenarios where adenosine is contraindicated or there are other challenges; with the knowledge that hyperemia might be necessary if there is any high clinical suspicion as it </w:t>
      </w:r>
      <w:proofErr w:type="gramStart"/>
      <w:r w:rsidRPr="00CB7EDA">
        <w:rPr>
          <w:rFonts w:ascii="Times New Roman" w:eastAsia="Times New Roman" w:hAnsi="Times New Roman" w:cs="Times New Roman"/>
          <w:color w:val="000000"/>
          <w:sz w:val="24"/>
          <w:szCs w:val="24"/>
        </w:rPr>
        <w:t>still remains</w:t>
      </w:r>
      <w:proofErr w:type="gramEnd"/>
      <w:r w:rsidRPr="00CB7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reference standard for diagnostic certainty.</w:t>
      </w:r>
    </w:p>
    <w:p w:rsidR="00F70B74" w:rsidRPr="00CB7EDA" w:rsidRDefault="00F70B74" w:rsidP="009E79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DBB" w:rsidRPr="00CB7EDA" w:rsidRDefault="00CE3730" w:rsidP="00CB7EDA">
      <w:pPr>
        <w:rPr>
          <w:sz w:val="24"/>
          <w:szCs w:val="24"/>
        </w:rPr>
      </w:pPr>
    </w:p>
    <w:sectPr w:rsidR="00345DBB" w:rsidRPr="00CB7ED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730" w:rsidRDefault="00CE3730" w:rsidP="00CB7EDA">
      <w:r>
        <w:separator/>
      </w:r>
    </w:p>
  </w:endnote>
  <w:endnote w:type="continuationSeparator" w:id="0">
    <w:p w:rsidR="00CE3730" w:rsidRDefault="00CE3730" w:rsidP="00CB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730" w:rsidRDefault="00CE3730" w:rsidP="00CB7EDA">
      <w:r>
        <w:separator/>
      </w:r>
    </w:p>
  </w:footnote>
  <w:footnote w:type="continuationSeparator" w:id="0">
    <w:p w:rsidR="00CE3730" w:rsidRDefault="00CE3730" w:rsidP="00CB7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EDA" w:rsidRPr="00CB7EDA" w:rsidRDefault="00CB7EDA" w:rsidP="00CB7EDA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CB7EDA">
      <w:rPr>
        <w:rFonts w:ascii="Times New Roman" w:eastAsia="Times New Roman" w:hAnsi="Times New Roman" w:cs="Times New Roman"/>
        <w:color w:val="000000"/>
        <w:sz w:val="24"/>
        <w:szCs w:val="24"/>
      </w:rPr>
      <w:t>18-A-386-IAC</w:t>
    </w:r>
  </w:p>
  <w:p w:rsidR="00CB7EDA" w:rsidRPr="00CB7EDA" w:rsidRDefault="00CB7EDA" w:rsidP="00CB7EDA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CB7EDA">
      <w:rPr>
        <w:rFonts w:ascii="Times New Roman" w:eastAsia="Times New Roman" w:hAnsi="Times New Roman" w:cs="Times New Roman"/>
        <w:color w:val="000000"/>
        <w:sz w:val="24"/>
        <w:szCs w:val="24"/>
      </w:rPr>
      <w:t>19. Coronary Artery Disease / Stable Ischemic Heart Disease</w:t>
    </w:r>
  </w:p>
  <w:p w:rsidR="00CB7EDA" w:rsidRDefault="00CB7EDA">
    <w:pPr>
      <w:pStyle w:val="Header"/>
    </w:pPr>
  </w:p>
  <w:p w:rsidR="00CB7EDA" w:rsidRDefault="00CB7E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74"/>
    <w:rsid w:val="0030401F"/>
    <w:rsid w:val="008A10D5"/>
    <w:rsid w:val="009E79B5"/>
    <w:rsid w:val="00A128E1"/>
    <w:rsid w:val="00CB7EDA"/>
    <w:rsid w:val="00CE3730"/>
    <w:rsid w:val="00E27636"/>
    <w:rsid w:val="00E7251E"/>
    <w:rsid w:val="00F7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77422"/>
  <w15:chartTrackingRefBased/>
  <w15:docId w15:val="{3AA09055-BA60-4F00-9B5B-36521A0E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EDA"/>
  </w:style>
  <w:style w:type="paragraph" w:styleId="Footer">
    <w:name w:val="footer"/>
    <w:basedOn w:val="Normal"/>
    <w:link w:val="FooterChar"/>
    <w:uiPriority w:val="99"/>
    <w:unhideWhenUsed/>
    <w:rsid w:val="00CB7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3</cp:revision>
  <dcterms:created xsi:type="dcterms:W3CDTF">2018-05-28T13:19:00Z</dcterms:created>
  <dcterms:modified xsi:type="dcterms:W3CDTF">2018-05-28T13:21:00Z</dcterms:modified>
</cp:coreProperties>
</file>